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20A71"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1B897D01"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Length:</w:t>
      </w:r>
      <w:r w:rsidRPr="006679AE">
        <w:rPr>
          <w:rFonts w:ascii="Arial" w:hAnsi="Arial" w:cs="Arial"/>
          <w:sz w:val="22"/>
          <w:szCs w:val="22"/>
        </w:rPr>
        <w:t xml:space="preserve"> </w:t>
      </w:r>
      <w:r w:rsidR="00955DF6">
        <w:rPr>
          <w:rFonts w:ascii="Arial" w:hAnsi="Arial" w:cs="Arial"/>
          <w:sz w:val="22"/>
          <w:szCs w:val="22"/>
        </w:rPr>
        <w:t>8-hour</w:t>
      </w:r>
      <w:r w:rsidRPr="006679AE">
        <w:rPr>
          <w:rFonts w:ascii="Arial" w:hAnsi="Arial" w:cs="Arial"/>
          <w:sz w:val="22"/>
          <w:szCs w:val="22"/>
        </w:rPr>
        <w:t xml:space="preserve"> program</w:t>
      </w:r>
    </w:p>
    <w:p w14:paraId="369E7396" w14:textId="77777777"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CPE credit:</w:t>
      </w:r>
      <w:r w:rsidRPr="006679AE">
        <w:rPr>
          <w:rFonts w:ascii="Arial" w:hAnsi="Arial" w:cs="Arial"/>
          <w:sz w:val="22"/>
          <w:szCs w:val="22"/>
        </w:rPr>
        <w:t xml:space="preserve"> Up to 8 hours awarded</w:t>
      </w:r>
    </w:p>
    <w:p w14:paraId="1E58739D" w14:textId="3709F845" w:rsidR="00327DA9" w:rsidRPr="006679AE" w:rsidRDefault="00327DA9" w:rsidP="006679AE">
      <w:pPr>
        <w:pStyle w:val="BodyText"/>
        <w:spacing w:line="276" w:lineRule="auto"/>
        <w:rPr>
          <w:rFonts w:ascii="Arial" w:hAnsi="Arial" w:cs="Arial"/>
          <w:sz w:val="22"/>
          <w:szCs w:val="22"/>
        </w:rPr>
      </w:pPr>
      <w:r w:rsidRPr="006679AE">
        <w:rPr>
          <w:rFonts w:ascii="Arial" w:hAnsi="Arial" w:cs="Arial"/>
          <w:b/>
          <w:bCs/>
          <w:sz w:val="22"/>
          <w:szCs w:val="22"/>
        </w:rPr>
        <w:t xml:space="preserve">Field of Study: </w:t>
      </w:r>
      <w:r w:rsidR="007E72C8" w:rsidRPr="006679AE">
        <w:rPr>
          <w:rFonts w:ascii="Arial" w:hAnsi="Arial" w:cs="Arial"/>
          <w:sz w:val="22"/>
          <w:szCs w:val="22"/>
        </w:rPr>
        <w:t>Accounting</w:t>
      </w:r>
    </w:p>
    <w:p w14:paraId="328A9463" w14:textId="7A5C387D" w:rsidR="00327DA9" w:rsidRPr="006679AE" w:rsidRDefault="00327DA9" w:rsidP="006679AE">
      <w:pPr>
        <w:pStyle w:val="BodyText"/>
        <w:spacing w:line="276" w:lineRule="auto"/>
        <w:rPr>
          <w:rFonts w:ascii="Arial" w:hAnsi="Arial" w:cs="Arial"/>
          <w:sz w:val="22"/>
          <w:szCs w:val="22"/>
        </w:rPr>
      </w:pPr>
      <w:r w:rsidRPr="006679AE">
        <w:rPr>
          <w:rFonts w:ascii="Arial" w:hAnsi="Arial" w:cs="Arial"/>
          <w:b/>
          <w:bCs/>
          <w:sz w:val="22"/>
          <w:szCs w:val="22"/>
        </w:rPr>
        <w:t>Program Level:</w:t>
      </w:r>
      <w:r w:rsidRPr="006679AE">
        <w:rPr>
          <w:rFonts w:ascii="Arial" w:hAnsi="Arial" w:cs="Arial"/>
          <w:sz w:val="22"/>
          <w:szCs w:val="22"/>
        </w:rPr>
        <w:t xml:space="preserve"> Basic</w:t>
      </w:r>
    </w:p>
    <w:p w14:paraId="1580F7AA" w14:textId="3387CA48"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Advance Preparation:</w:t>
      </w:r>
      <w:r w:rsidRPr="006679AE">
        <w:rPr>
          <w:rFonts w:ascii="Arial" w:hAnsi="Arial" w:cs="Arial"/>
          <w:sz w:val="22"/>
          <w:szCs w:val="22"/>
        </w:rPr>
        <w:t xml:space="preserve"> None</w:t>
      </w:r>
    </w:p>
    <w:p w14:paraId="160C905C" w14:textId="042C98D5"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Prerequisites:</w:t>
      </w:r>
      <w:r w:rsidRPr="006679AE">
        <w:rPr>
          <w:rFonts w:ascii="Arial" w:hAnsi="Arial" w:cs="Arial"/>
          <w:sz w:val="22"/>
          <w:szCs w:val="22"/>
        </w:rPr>
        <w:t xml:space="preserve"> </w:t>
      </w:r>
      <w:r w:rsidR="004E0056">
        <w:rPr>
          <w:rFonts w:ascii="Arial" w:hAnsi="Arial" w:cs="Arial"/>
          <w:sz w:val="22"/>
          <w:szCs w:val="22"/>
        </w:rPr>
        <w:t>None</w:t>
      </w:r>
    </w:p>
    <w:p w14:paraId="7B0AE266" w14:textId="4EDC3FE8"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 xml:space="preserve">Delivery Method: </w:t>
      </w:r>
      <w:r w:rsidRPr="006679AE">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20A71"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D7FC8" w:rsidRDefault="00FB32A1" w:rsidP="00FD7FC8">
      <w:pPr>
        <w:pStyle w:val="BodyText"/>
        <w:rPr>
          <w:rFonts w:ascii="Arial" w:hAnsi="Arial" w:cs="Arial"/>
          <w:b/>
          <w:bCs/>
          <w:sz w:val="22"/>
          <w:szCs w:val="22"/>
        </w:rPr>
      </w:pPr>
      <w:r w:rsidRPr="00FD7FC8">
        <w:rPr>
          <w:rFonts w:ascii="Arial" w:hAnsi="Arial" w:cs="Arial"/>
          <w:b/>
          <w:bCs/>
          <w:sz w:val="22"/>
          <w:szCs w:val="22"/>
        </w:rPr>
        <w:t>Who Should Attend</w:t>
      </w:r>
    </w:p>
    <w:p w14:paraId="14C83D63" w14:textId="7E02E632"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 xml:space="preserve">Employees of </w:t>
      </w:r>
      <w:r w:rsidR="009C2028" w:rsidRPr="009C2028">
        <w:rPr>
          <w:rFonts w:ascii="Arial" w:hAnsi="Arial" w:cs="Arial"/>
          <w:sz w:val="22"/>
          <w:szCs w:val="22"/>
        </w:rPr>
        <w:t>oil and gas</w:t>
      </w:r>
      <w:r w:rsidR="009C2028">
        <w:rPr>
          <w:rFonts w:ascii="Arial" w:hAnsi="Arial" w:cs="Arial"/>
          <w:sz w:val="22"/>
          <w:szCs w:val="22"/>
        </w:rPr>
        <w:t xml:space="preserve"> </w:t>
      </w:r>
      <w:r w:rsidRPr="00FD7FC8">
        <w:rPr>
          <w:rFonts w:ascii="Arial" w:hAnsi="Arial" w:cs="Arial"/>
          <w:sz w:val="22"/>
          <w:szCs w:val="22"/>
        </w:rPr>
        <w:t>companies (E&amp;P) responsible for financial reporting</w:t>
      </w:r>
    </w:p>
    <w:p w14:paraId="60E7A94C" w14:textId="77777777"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Employees responsible for disclosures over reserves including SMOG and asset retirement obligations</w:t>
      </w:r>
    </w:p>
    <w:p w14:paraId="3256BA80" w14:textId="01FDB32E"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Controllers, assistant controllers</w:t>
      </w:r>
      <w:r w:rsidR="00955DF6">
        <w:rPr>
          <w:rFonts w:ascii="Arial" w:hAnsi="Arial" w:cs="Arial"/>
          <w:sz w:val="22"/>
          <w:szCs w:val="22"/>
        </w:rPr>
        <w:t>,</w:t>
      </w:r>
      <w:r w:rsidRPr="00FD7FC8">
        <w:rPr>
          <w:rFonts w:ascii="Arial" w:hAnsi="Arial" w:cs="Arial"/>
          <w:sz w:val="22"/>
          <w:szCs w:val="22"/>
        </w:rPr>
        <w:t xml:space="preserve"> and managers of </w:t>
      </w:r>
      <w:r w:rsidR="009C2028" w:rsidRPr="009C2028">
        <w:rPr>
          <w:rFonts w:ascii="Arial" w:hAnsi="Arial" w:cs="Arial"/>
          <w:sz w:val="22"/>
          <w:szCs w:val="22"/>
        </w:rPr>
        <w:t>oil and gas</w:t>
      </w:r>
      <w:r w:rsidRPr="00FD7FC8">
        <w:rPr>
          <w:rFonts w:ascii="Arial" w:hAnsi="Arial" w:cs="Arial"/>
          <w:sz w:val="22"/>
          <w:szCs w:val="22"/>
        </w:rPr>
        <w:t xml:space="preserve"> companies</w:t>
      </w:r>
    </w:p>
    <w:p w14:paraId="443D9DF0" w14:textId="1F18A17C"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 xml:space="preserve">Accountants responsible for </w:t>
      </w:r>
      <w:r w:rsidR="009C2028" w:rsidRPr="009C2028">
        <w:rPr>
          <w:rFonts w:ascii="Arial" w:hAnsi="Arial" w:cs="Arial"/>
          <w:sz w:val="22"/>
          <w:szCs w:val="22"/>
        </w:rPr>
        <w:t>oil and gas</w:t>
      </w:r>
      <w:r w:rsidRPr="00FD7FC8">
        <w:rPr>
          <w:rFonts w:ascii="Arial" w:hAnsi="Arial" w:cs="Arial"/>
          <w:sz w:val="22"/>
          <w:szCs w:val="22"/>
        </w:rPr>
        <w:t xml:space="preserve"> fixed assets</w:t>
      </w:r>
    </w:p>
    <w:p w14:paraId="0AE0C713" w14:textId="77777777"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Internal auditors</w:t>
      </w:r>
    </w:p>
    <w:p w14:paraId="6C41D0EF" w14:textId="77777777"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Employees of audit firms who do financial statement audits of E&amp;P companies</w:t>
      </w:r>
    </w:p>
    <w:p w14:paraId="33F94109" w14:textId="77777777" w:rsidR="007E72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Employees of private E&amp;P companies responsible for financials</w:t>
      </w:r>
    </w:p>
    <w:p w14:paraId="3D7A5F0D" w14:textId="6B76430B" w:rsidR="00955DF6" w:rsidRPr="00FD7FC8" w:rsidRDefault="00955DF6" w:rsidP="00FD7FC8">
      <w:pPr>
        <w:pStyle w:val="BodyText"/>
        <w:numPr>
          <w:ilvl w:val="0"/>
          <w:numId w:val="20"/>
        </w:numPr>
        <w:rPr>
          <w:rFonts w:ascii="Arial" w:hAnsi="Arial" w:cs="Arial"/>
          <w:sz w:val="22"/>
          <w:szCs w:val="22"/>
        </w:rPr>
      </w:pPr>
      <w:r>
        <w:rPr>
          <w:rFonts w:ascii="Arial" w:hAnsi="Arial" w:cs="Arial"/>
          <w:sz w:val="22"/>
          <w:szCs w:val="22"/>
        </w:rPr>
        <w:t>Bankers involved in energy lending</w:t>
      </w:r>
    </w:p>
    <w:p w14:paraId="061FCFB6" w14:textId="0A4F06E5" w:rsidR="00FB32A1" w:rsidRPr="00F51842" w:rsidRDefault="00FB32A1" w:rsidP="007E72C8">
      <w:pPr>
        <w:pStyle w:val="ListParagraph"/>
        <w:tabs>
          <w:tab w:val="left" w:pos="839"/>
        </w:tabs>
        <w:kinsoku w:val="0"/>
        <w:overflowPunct w:val="0"/>
        <w:ind w:left="838" w:firstLine="0"/>
        <w:rPr>
          <w:rFonts w:ascii="Arial" w:hAnsi="Arial" w:cs="Arial"/>
          <w:sz w:val="22"/>
          <w:szCs w:val="22"/>
        </w:rPr>
      </w:pP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D7FC8" w:rsidRDefault="00FB32A1" w:rsidP="007E72C8">
      <w:pPr>
        <w:pStyle w:val="BodyText"/>
        <w:rPr>
          <w:rFonts w:ascii="Arial" w:hAnsi="Arial" w:cs="Arial"/>
          <w:b/>
          <w:bCs/>
          <w:sz w:val="22"/>
          <w:szCs w:val="22"/>
        </w:rPr>
      </w:pPr>
      <w:r w:rsidRPr="00FD7FC8">
        <w:rPr>
          <w:rFonts w:ascii="Arial" w:hAnsi="Arial" w:cs="Arial"/>
          <w:b/>
          <w:bCs/>
          <w:sz w:val="22"/>
          <w:szCs w:val="22"/>
        </w:rPr>
        <w:t xml:space="preserve">Upon Completion of Program Participants </w:t>
      </w:r>
      <w:r w:rsidR="00B93C9E" w:rsidRPr="00FD7FC8">
        <w:rPr>
          <w:rFonts w:ascii="Arial" w:hAnsi="Arial" w:cs="Arial"/>
          <w:b/>
          <w:bCs/>
          <w:sz w:val="22"/>
          <w:szCs w:val="22"/>
        </w:rPr>
        <w:t>W</w:t>
      </w:r>
      <w:r w:rsidRPr="00FD7FC8">
        <w:rPr>
          <w:rFonts w:ascii="Arial" w:hAnsi="Arial" w:cs="Arial"/>
          <w:b/>
          <w:bCs/>
          <w:sz w:val="22"/>
          <w:szCs w:val="22"/>
        </w:rPr>
        <w:t xml:space="preserve">ill </w:t>
      </w:r>
      <w:r w:rsidR="00B93C9E" w:rsidRPr="00FD7FC8">
        <w:rPr>
          <w:rFonts w:ascii="Arial" w:hAnsi="Arial" w:cs="Arial"/>
          <w:b/>
          <w:bCs/>
          <w:sz w:val="22"/>
          <w:szCs w:val="22"/>
        </w:rPr>
        <w:t>B</w:t>
      </w:r>
      <w:r w:rsidRPr="00FD7FC8">
        <w:rPr>
          <w:rFonts w:ascii="Arial" w:hAnsi="Arial" w:cs="Arial"/>
          <w:b/>
          <w:bCs/>
          <w:sz w:val="22"/>
          <w:szCs w:val="22"/>
        </w:rPr>
        <w:t xml:space="preserve">e </w:t>
      </w:r>
      <w:r w:rsidR="00B93C9E" w:rsidRPr="00FD7FC8">
        <w:rPr>
          <w:rFonts w:ascii="Arial" w:hAnsi="Arial" w:cs="Arial"/>
          <w:b/>
          <w:bCs/>
          <w:sz w:val="22"/>
          <w:szCs w:val="22"/>
        </w:rPr>
        <w:t>A</w:t>
      </w:r>
      <w:r w:rsidRPr="00FD7FC8">
        <w:rPr>
          <w:rFonts w:ascii="Arial" w:hAnsi="Arial" w:cs="Arial"/>
          <w:b/>
          <w:bCs/>
          <w:sz w:val="22"/>
          <w:szCs w:val="22"/>
        </w:rPr>
        <w:t>ble to</w:t>
      </w:r>
      <w:r w:rsidR="007978F1" w:rsidRPr="00FD7FC8">
        <w:rPr>
          <w:rFonts w:ascii="Arial" w:hAnsi="Arial" w:cs="Arial"/>
          <w:b/>
          <w:bCs/>
          <w:sz w:val="22"/>
          <w:szCs w:val="22"/>
        </w:rPr>
        <w:t>:</w:t>
      </w:r>
    </w:p>
    <w:p w14:paraId="0B5C5752"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Be able to prepare public company and private company financial disclosures</w:t>
      </w:r>
    </w:p>
    <w:p w14:paraId="708E90FE"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Review the SEC reserve rules and determine appropriate company disclosures</w:t>
      </w:r>
    </w:p>
    <w:p w14:paraId="285D66EC"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Demonstrate an understanding of E&amp;P specific financial statements to management</w:t>
      </w:r>
    </w:p>
    <w:p w14:paraId="22422EF2" w14:textId="1D3A31BA"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Determine how and where to obtain information necessary to creat</w:t>
      </w:r>
      <w:r w:rsidR="00955DF6">
        <w:rPr>
          <w:rFonts w:ascii="Arial" w:hAnsi="Arial" w:cs="Arial"/>
          <w:sz w:val="22"/>
          <w:szCs w:val="22"/>
        </w:rPr>
        <w:t>e</w:t>
      </w:r>
      <w:r w:rsidRPr="007E72C8">
        <w:rPr>
          <w:rFonts w:ascii="Arial" w:hAnsi="Arial" w:cs="Arial"/>
          <w:sz w:val="22"/>
          <w:szCs w:val="22"/>
        </w:rPr>
        <w:t xml:space="preserve"> and interpret financial statements</w:t>
      </w:r>
    </w:p>
    <w:p w14:paraId="600FD121" w14:textId="5C927014"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Identify potential risk factors and concerns associated with E&amp;P mergers, acquisitions</w:t>
      </w:r>
      <w:r w:rsidR="00955DF6">
        <w:rPr>
          <w:rFonts w:ascii="Arial" w:hAnsi="Arial" w:cs="Arial"/>
          <w:sz w:val="22"/>
          <w:szCs w:val="22"/>
        </w:rPr>
        <w:t>,</w:t>
      </w:r>
      <w:r w:rsidRPr="007E72C8">
        <w:rPr>
          <w:rFonts w:ascii="Arial" w:hAnsi="Arial" w:cs="Arial"/>
          <w:sz w:val="22"/>
          <w:szCs w:val="22"/>
        </w:rPr>
        <w:t xml:space="preserve"> and divestitures</w:t>
      </w:r>
    </w:p>
    <w:p w14:paraId="59D6C94F"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How to respond to a comment letter</w:t>
      </w:r>
    </w:p>
    <w:p w14:paraId="1FF5D23D"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Identify alternatives for industry best practices in financial reporting</w:t>
      </w:r>
    </w:p>
    <w:p w14:paraId="348F2F46"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Facilitate audit procedures</w:t>
      </w:r>
    </w:p>
    <w:p w14:paraId="074EFE14" w14:textId="77777777" w:rsidR="00FB32A1" w:rsidRPr="007E72C8" w:rsidRDefault="00FB32A1" w:rsidP="007E72C8">
      <w:pPr>
        <w:pStyle w:val="BodyText"/>
        <w:rPr>
          <w:rFonts w:ascii="Arial" w:hAnsi="Arial" w:cs="Arial"/>
          <w:sz w:val="22"/>
          <w:szCs w:val="22"/>
        </w:rPr>
      </w:pPr>
    </w:p>
    <w:p w14:paraId="7C75EE8C" w14:textId="7C417A41" w:rsidR="00FB32A1" w:rsidRPr="007E72C8" w:rsidRDefault="00FB32A1" w:rsidP="007E72C8">
      <w:pPr>
        <w:pStyle w:val="BodyText"/>
        <w:rPr>
          <w:rFonts w:ascii="Arial" w:hAnsi="Arial" w:cs="Arial"/>
          <w:b/>
          <w:bCs/>
          <w:sz w:val="22"/>
          <w:szCs w:val="22"/>
        </w:rPr>
      </w:pPr>
      <w:r w:rsidRPr="007E72C8">
        <w:rPr>
          <w:rFonts w:ascii="Arial" w:hAnsi="Arial" w:cs="Arial"/>
          <w:b/>
          <w:bCs/>
          <w:sz w:val="22"/>
          <w:szCs w:val="22"/>
        </w:rPr>
        <w:t>Key Topics Covered</w:t>
      </w:r>
    </w:p>
    <w:p w14:paraId="72296456" w14:textId="77777777" w:rsidR="007E72C8" w:rsidRPr="007E72C8" w:rsidRDefault="007E72C8" w:rsidP="007E72C8">
      <w:pPr>
        <w:pStyle w:val="BodyText"/>
        <w:numPr>
          <w:ilvl w:val="0"/>
          <w:numId w:val="15"/>
        </w:numPr>
        <w:rPr>
          <w:rFonts w:ascii="Arial" w:hAnsi="Arial" w:cs="Arial"/>
          <w:sz w:val="22"/>
          <w:szCs w:val="22"/>
        </w:rPr>
      </w:pPr>
      <w:r w:rsidRPr="007E72C8">
        <w:rPr>
          <w:rFonts w:ascii="Arial" w:hAnsi="Arial" w:cs="Arial"/>
          <w:sz w:val="22"/>
          <w:szCs w:val="22"/>
        </w:rPr>
        <w:t>Review of disclosures in 10-K’s, S-1’s, and S-4’s</w:t>
      </w:r>
    </w:p>
    <w:p w14:paraId="38FB1A99" w14:textId="39BA268C"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Hot items and comment letters points</w:t>
      </w:r>
    </w:p>
    <w:p w14:paraId="14383407" w14:textId="5CB06EEB"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Property disclosures</w:t>
      </w:r>
    </w:p>
    <w:p w14:paraId="4B30BF38" w14:textId="779C251A"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Reserve disclosures – where to get the info, what are others disclosing</w:t>
      </w:r>
    </w:p>
    <w:p w14:paraId="2824968B" w14:textId="3C4860B0"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Acquisitions and divestitures</w:t>
      </w:r>
    </w:p>
    <w:p w14:paraId="1EB02C1D" w14:textId="3FB21EB9"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Financial calculations – ARO, SMOG, DD&amp;A</w:t>
      </w:r>
    </w:p>
    <w:p w14:paraId="6799114D" w14:textId="5B27E5AA"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 xml:space="preserve">8-K </w:t>
      </w:r>
      <w:r w:rsidR="00220DE2">
        <w:rPr>
          <w:rFonts w:ascii="Arial" w:hAnsi="Arial" w:cs="Arial"/>
          <w:sz w:val="22"/>
          <w:szCs w:val="22"/>
        </w:rPr>
        <w:t xml:space="preserve">– </w:t>
      </w:r>
      <w:r w:rsidRPr="007E72C8">
        <w:rPr>
          <w:rFonts w:ascii="Arial" w:hAnsi="Arial" w:cs="Arial"/>
          <w:sz w:val="22"/>
          <w:szCs w:val="22"/>
        </w:rPr>
        <w:t xml:space="preserve">statement of revenue </w:t>
      </w:r>
      <w:r w:rsidR="00220DE2">
        <w:rPr>
          <w:rFonts w:ascii="Arial" w:hAnsi="Arial" w:cs="Arial"/>
          <w:sz w:val="22"/>
          <w:szCs w:val="22"/>
        </w:rPr>
        <w:t xml:space="preserve">and </w:t>
      </w:r>
      <w:r w:rsidRPr="007E72C8">
        <w:rPr>
          <w:rFonts w:ascii="Arial" w:hAnsi="Arial" w:cs="Arial"/>
          <w:sz w:val="22"/>
          <w:szCs w:val="22"/>
        </w:rPr>
        <w:t>direct operating expense reporting</w:t>
      </w:r>
    </w:p>
    <w:p w14:paraId="76399CB9" w14:textId="625301E7"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 xml:space="preserve">Responding to a </w:t>
      </w:r>
      <w:proofErr w:type="gramStart"/>
      <w:r w:rsidRPr="007E72C8">
        <w:rPr>
          <w:rFonts w:ascii="Arial" w:hAnsi="Arial" w:cs="Arial"/>
          <w:sz w:val="22"/>
          <w:szCs w:val="22"/>
        </w:rPr>
        <w:t>comment letter</w:t>
      </w:r>
      <w:proofErr w:type="gramEnd"/>
    </w:p>
    <w:p w14:paraId="1B3E58AD" w14:textId="11117DA6"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Reporting fundamentals – state, bank</w:t>
      </w:r>
      <w:r w:rsidR="006E6F35">
        <w:rPr>
          <w:rFonts w:ascii="Arial" w:hAnsi="Arial" w:cs="Arial"/>
          <w:sz w:val="22"/>
          <w:szCs w:val="22"/>
        </w:rPr>
        <w:t>,</w:t>
      </w:r>
      <w:r w:rsidRPr="007E72C8">
        <w:rPr>
          <w:rFonts w:ascii="Arial" w:hAnsi="Arial" w:cs="Arial"/>
          <w:sz w:val="22"/>
          <w:szCs w:val="22"/>
        </w:rPr>
        <w:t xml:space="preserve"> and bankruptcy</w:t>
      </w:r>
    </w:p>
    <w:p w14:paraId="41DC94E0" w14:textId="33E5EFF0"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Internal reporting</w:t>
      </w:r>
      <w:r w:rsidR="006679AE">
        <w:rPr>
          <w:rFonts w:ascii="Arial" w:hAnsi="Arial" w:cs="Arial"/>
          <w:sz w:val="22"/>
          <w:szCs w:val="22"/>
        </w:rPr>
        <w:t xml:space="preserve"> – </w:t>
      </w:r>
      <w:r w:rsidRPr="007E72C8">
        <w:rPr>
          <w:rFonts w:ascii="Arial" w:hAnsi="Arial" w:cs="Arial"/>
          <w:sz w:val="22"/>
          <w:szCs w:val="22"/>
        </w:rPr>
        <w:t>dashboards and best practices</w:t>
      </w:r>
    </w:p>
    <w:p w14:paraId="46483FC6" w14:textId="56CB360F"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Audits</w:t>
      </w:r>
    </w:p>
    <w:p w14:paraId="5CC36612" w14:textId="77777777" w:rsidR="007E72C8" w:rsidRPr="007E72C8" w:rsidRDefault="007E72C8" w:rsidP="006679AE">
      <w:pPr>
        <w:pStyle w:val="NoSpacing"/>
        <w:numPr>
          <w:ilvl w:val="0"/>
          <w:numId w:val="21"/>
        </w:numPr>
        <w:rPr>
          <w:rFonts w:ascii="Arial" w:hAnsi="Arial" w:cs="Arial"/>
          <w:sz w:val="22"/>
          <w:szCs w:val="22"/>
        </w:rPr>
      </w:pPr>
      <w:r w:rsidRPr="007E72C8">
        <w:rPr>
          <w:rFonts w:ascii="Arial" w:hAnsi="Arial" w:cs="Arial"/>
          <w:sz w:val="22"/>
          <w:szCs w:val="22"/>
        </w:rPr>
        <w:t>Brief overview of E&amp;P Accounting systems and ERP’s</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821F930" w14:textId="77777777" w:rsidR="00F416E1" w:rsidRPr="00F51842" w:rsidRDefault="00F416E1" w:rsidP="00F56607">
      <w:pPr>
        <w:pStyle w:val="PlainText"/>
        <w:rPr>
          <w:rFonts w:ascii="Arial" w:hAnsi="Arial" w:cs="Arial"/>
          <w:b/>
          <w:bCs/>
          <w:sz w:val="22"/>
          <w:szCs w:val="22"/>
        </w:rPr>
      </w:pPr>
    </w:p>
    <w:p w14:paraId="5F6DAB3D" w14:textId="77777777" w:rsidR="005C6EAC" w:rsidRPr="00F51842" w:rsidRDefault="005C6EAC" w:rsidP="00F56607">
      <w:pPr>
        <w:pStyle w:val="PlainText"/>
        <w:rPr>
          <w:rFonts w:ascii="Arial" w:hAnsi="Arial" w:cs="Arial"/>
          <w:b/>
          <w:bCs/>
          <w:sz w:val="22"/>
          <w:szCs w:val="22"/>
        </w:rPr>
      </w:pPr>
    </w:p>
    <w:p w14:paraId="32DB4F59" w14:textId="77777777" w:rsidR="005C6EAC" w:rsidRPr="00F51842" w:rsidRDefault="005C6EAC" w:rsidP="00804B82">
      <w:pPr>
        <w:pStyle w:val="PlainText"/>
        <w:ind w:firstLine="720"/>
        <w:rPr>
          <w:rFonts w:ascii="Arial" w:hAnsi="Arial" w:cs="Arial"/>
          <w:b/>
          <w:bCs/>
          <w:sz w:val="22"/>
          <w:szCs w:val="22"/>
        </w:rPr>
      </w:pPr>
    </w:p>
    <w:p w14:paraId="123C4B4B" w14:textId="77777777" w:rsidR="00210963" w:rsidRDefault="00210963" w:rsidP="00B041E1">
      <w:pPr>
        <w:pStyle w:val="PlainText"/>
        <w:spacing w:line="276" w:lineRule="auto"/>
        <w:rPr>
          <w:rFonts w:ascii="Arial" w:hAnsi="Arial" w:cs="Arial"/>
          <w:b/>
          <w:bCs/>
          <w:sz w:val="22"/>
          <w:szCs w:val="22"/>
        </w:rPr>
      </w:pPr>
    </w:p>
    <w:p w14:paraId="2A69C5D4" w14:textId="4BBC4F55"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lastRenderedPageBreak/>
        <w:t>Registration Instructions</w:t>
      </w:r>
    </w:p>
    <w:p w14:paraId="36D71315" w14:textId="2E2146CD"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E4217" w14:textId="77777777" w:rsidR="00E81F3F" w:rsidRDefault="00E81F3F">
      <w:r>
        <w:separator/>
      </w:r>
    </w:p>
  </w:endnote>
  <w:endnote w:type="continuationSeparator" w:id="0">
    <w:p w14:paraId="6C44F6E8" w14:textId="77777777" w:rsidR="00E81F3F" w:rsidRDefault="00E81F3F">
      <w:r>
        <w:continuationSeparator/>
      </w:r>
    </w:p>
  </w:endnote>
  <w:endnote w:type="continuationNotice" w:id="1">
    <w:p w14:paraId="0657F7C3" w14:textId="77777777" w:rsidR="00E81F3F" w:rsidRDefault="00E81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4112" w14:textId="77777777" w:rsidR="004E0056" w:rsidRDefault="004E0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205C7EAA"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4E0056">
          <w:rPr>
            <w:rFonts w:ascii="Arial" w:hAnsi="Arial" w:cs="Arial"/>
            <w:sz w:val="20"/>
            <w:szCs w:val="20"/>
          </w:rPr>
          <w:t xml:space="preserve"> </w:t>
        </w:r>
        <w:r w:rsidR="004E0056">
          <w:rPr>
            <w:rFonts w:ascii="Arial" w:hAnsi="Arial" w:cs="Arial"/>
            <w:sz w:val="20"/>
            <w:szCs w:val="20"/>
          </w:rPr>
          <w:fldChar w:fldCharType="begin"/>
        </w:r>
        <w:r w:rsidR="004E0056">
          <w:rPr>
            <w:rFonts w:ascii="Arial" w:hAnsi="Arial" w:cs="Arial"/>
            <w:sz w:val="20"/>
            <w:szCs w:val="20"/>
          </w:rPr>
          <w:instrText xml:space="preserve"> DATE  \@ "M.d.yyyy"  \* MERGEFORMAT </w:instrText>
        </w:r>
        <w:r w:rsidR="004E0056">
          <w:rPr>
            <w:rFonts w:ascii="Arial" w:hAnsi="Arial" w:cs="Arial"/>
            <w:sz w:val="20"/>
            <w:szCs w:val="20"/>
          </w:rPr>
          <w:fldChar w:fldCharType="separate"/>
        </w:r>
        <w:r w:rsidR="004E0056">
          <w:rPr>
            <w:rFonts w:ascii="Arial" w:hAnsi="Arial" w:cs="Arial"/>
            <w:noProof/>
            <w:sz w:val="20"/>
            <w:szCs w:val="20"/>
          </w:rPr>
          <w:t>9.19.2025</w:t>
        </w:r>
        <w:r w:rsidR="004E0056">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42FD" w14:textId="77777777" w:rsidR="004E0056" w:rsidRDefault="004E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3807E" w14:textId="77777777" w:rsidR="00E81F3F" w:rsidRDefault="00E81F3F">
      <w:r>
        <w:separator/>
      </w:r>
    </w:p>
  </w:footnote>
  <w:footnote w:type="continuationSeparator" w:id="0">
    <w:p w14:paraId="03EC6036" w14:textId="77777777" w:rsidR="00E81F3F" w:rsidRDefault="00E81F3F">
      <w:r>
        <w:continuationSeparator/>
      </w:r>
    </w:p>
  </w:footnote>
  <w:footnote w:type="continuationNotice" w:id="1">
    <w:p w14:paraId="40EF559B" w14:textId="77777777" w:rsidR="00E81F3F" w:rsidRDefault="00E81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A5AF" w14:textId="77777777" w:rsidR="004E0056" w:rsidRDefault="004E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DC47" w14:textId="77777777" w:rsidR="004A3F75" w:rsidRDefault="00F57787" w:rsidP="006679AE">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2C8">
      <w:rPr>
        <w:rFonts w:ascii="Arial" w:hAnsi="Arial" w:cs="Arial"/>
        <w:b/>
        <w:bCs/>
        <w:sz w:val="40"/>
        <w:szCs w:val="40"/>
      </w:rPr>
      <w:t xml:space="preserve">FINANCIAL REPORTING FOR </w:t>
    </w:r>
  </w:p>
  <w:p w14:paraId="02CBF1E2" w14:textId="6EFF4CB5" w:rsidR="00CF450B" w:rsidRPr="00F51842" w:rsidRDefault="007E72C8" w:rsidP="006679AE">
    <w:pPr>
      <w:pStyle w:val="BodyText"/>
      <w:kinsoku w:val="0"/>
      <w:overflowPunct w:val="0"/>
      <w:spacing w:before="26"/>
      <w:rPr>
        <w:rFonts w:ascii="Arial" w:hAnsi="Arial" w:cs="Arial"/>
        <w:b/>
        <w:bCs/>
        <w:sz w:val="40"/>
        <w:szCs w:val="40"/>
      </w:rPr>
    </w:pPr>
    <w:r>
      <w:rPr>
        <w:rFonts w:ascii="Arial" w:hAnsi="Arial" w:cs="Arial"/>
        <w:b/>
        <w:bCs/>
        <w:sz w:val="40"/>
        <w:szCs w:val="40"/>
      </w:rPr>
      <w:t>E&amp;P OPERATIONS</w:t>
    </w:r>
    <w:r w:rsidR="00F57787"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5CD3" w14:textId="77777777" w:rsidR="004E0056" w:rsidRDefault="004E0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D912A71"/>
    <w:multiLevelType w:val="hybridMultilevel"/>
    <w:tmpl w:val="CD72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A28D7"/>
    <w:multiLevelType w:val="hybridMultilevel"/>
    <w:tmpl w:val="032E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A35EB"/>
    <w:multiLevelType w:val="hybridMultilevel"/>
    <w:tmpl w:val="77BAA61A"/>
    <w:lvl w:ilvl="0" w:tplc="A3461DE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8A87D2A"/>
    <w:multiLevelType w:val="hybridMultilevel"/>
    <w:tmpl w:val="F4CC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2" w15:restartNumberingAfterBreak="0">
    <w:nsid w:val="3C247DC7"/>
    <w:multiLevelType w:val="hybridMultilevel"/>
    <w:tmpl w:val="4030C5C8"/>
    <w:lvl w:ilvl="0" w:tplc="A3461DE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C32"/>
    <w:multiLevelType w:val="hybridMultilevel"/>
    <w:tmpl w:val="2B18A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E6D51"/>
    <w:multiLevelType w:val="hybridMultilevel"/>
    <w:tmpl w:val="D2185E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46653C"/>
    <w:multiLevelType w:val="hybridMultilevel"/>
    <w:tmpl w:val="1604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177E5"/>
    <w:multiLevelType w:val="hybridMultilevel"/>
    <w:tmpl w:val="DF3E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8"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D51F8"/>
    <w:multiLevelType w:val="hybridMultilevel"/>
    <w:tmpl w:val="D1E0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8"/>
  </w:num>
  <w:num w:numId="7" w16cid:durableId="1817643803">
    <w:abstractNumId w:val="11"/>
  </w:num>
  <w:num w:numId="8" w16cid:durableId="561256681">
    <w:abstractNumId w:val="17"/>
  </w:num>
  <w:num w:numId="9" w16cid:durableId="2010134148">
    <w:abstractNumId w:val="9"/>
  </w:num>
  <w:num w:numId="10" w16cid:durableId="1281836085">
    <w:abstractNumId w:val="20"/>
  </w:num>
  <w:num w:numId="11" w16cid:durableId="2109110379">
    <w:abstractNumId w:val="18"/>
  </w:num>
  <w:num w:numId="12" w16cid:durableId="386951830">
    <w:abstractNumId w:val="16"/>
  </w:num>
  <w:num w:numId="13" w16cid:durableId="501627840">
    <w:abstractNumId w:val="19"/>
  </w:num>
  <w:num w:numId="14" w16cid:durableId="503784095">
    <w:abstractNumId w:val="15"/>
  </w:num>
  <w:num w:numId="15" w16cid:durableId="444663919">
    <w:abstractNumId w:val="10"/>
  </w:num>
  <w:num w:numId="16" w16cid:durableId="1460997772">
    <w:abstractNumId w:val="13"/>
  </w:num>
  <w:num w:numId="17" w16cid:durableId="1155294686">
    <w:abstractNumId w:val="7"/>
  </w:num>
  <w:num w:numId="18" w16cid:durableId="791707504">
    <w:abstractNumId w:val="12"/>
  </w:num>
  <w:num w:numId="19" w16cid:durableId="818503195">
    <w:abstractNumId w:val="6"/>
  </w:num>
  <w:num w:numId="20" w16cid:durableId="867569187">
    <w:abstractNumId w:val="5"/>
  </w:num>
  <w:num w:numId="21" w16cid:durableId="513035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20A71"/>
    <w:rsid w:val="00046235"/>
    <w:rsid w:val="000519C3"/>
    <w:rsid w:val="00053656"/>
    <w:rsid w:val="0005570A"/>
    <w:rsid w:val="00066335"/>
    <w:rsid w:val="0008425B"/>
    <w:rsid w:val="000A1C51"/>
    <w:rsid w:val="000D0DBF"/>
    <w:rsid w:val="000D6734"/>
    <w:rsid w:val="000F5CC5"/>
    <w:rsid w:val="0013006B"/>
    <w:rsid w:val="00183316"/>
    <w:rsid w:val="00186D1A"/>
    <w:rsid w:val="00192EC8"/>
    <w:rsid w:val="001B1EF6"/>
    <w:rsid w:val="001B4738"/>
    <w:rsid w:val="001D71E9"/>
    <w:rsid w:val="001E1E79"/>
    <w:rsid w:val="00210963"/>
    <w:rsid w:val="00220DE2"/>
    <w:rsid w:val="00261F1D"/>
    <w:rsid w:val="00297D8E"/>
    <w:rsid w:val="002C4928"/>
    <w:rsid w:val="002E4FDD"/>
    <w:rsid w:val="002F4482"/>
    <w:rsid w:val="00307EF5"/>
    <w:rsid w:val="00327DA9"/>
    <w:rsid w:val="003716CE"/>
    <w:rsid w:val="003A0B4B"/>
    <w:rsid w:val="003A4069"/>
    <w:rsid w:val="003A6C3B"/>
    <w:rsid w:val="003C7F23"/>
    <w:rsid w:val="00411AA5"/>
    <w:rsid w:val="0041606C"/>
    <w:rsid w:val="0042798F"/>
    <w:rsid w:val="00445AC3"/>
    <w:rsid w:val="00450E5F"/>
    <w:rsid w:val="004A3F75"/>
    <w:rsid w:val="004B3176"/>
    <w:rsid w:val="004C19C3"/>
    <w:rsid w:val="004C3CEE"/>
    <w:rsid w:val="004E0056"/>
    <w:rsid w:val="004E322B"/>
    <w:rsid w:val="004E456A"/>
    <w:rsid w:val="004F3F28"/>
    <w:rsid w:val="005166BF"/>
    <w:rsid w:val="005441B1"/>
    <w:rsid w:val="00552353"/>
    <w:rsid w:val="00563435"/>
    <w:rsid w:val="005727BC"/>
    <w:rsid w:val="00581694"/>
    <w:rsid w:val="00595B96"/>
    <w:rsid w:val="005C24CB"/>
    <w:rsid w:val="005C6EAC"/>
    <w:rsid w:val="00627452"/>
    <w:rsid w:val="00650819"/>
    <w:rsid w:val="006661B3"/>
    <w:rsid w:val="00667103"/>
    <w:rsid w:val="006679AE"/>
    <w:rsid w:val="006A348E"/>
    <w:rsid w:val="006E6F35"/>
    <w:rsid w:val="00764839"/>
    <w:rsid w:val="007733BC"/>
    <w:rsid w:val="00780579"/>
    <w:rsid w:val="007978F1"/>
    <w:rsid w:val="007A7A8C"/>
    <w:rsid w:val="007B3C89"/>
    <w:rsid w:val="007C3159"/>
    <w:rsid w:val="007D032E"/>
    <w:rsid w:val="007E72C8"/>
    <w:rsid w:val="00804B82"/>
    <w:rsid w:val="00810CF8"/>
    <w:rsid w:val="00826A32"/>
    <w:rsid w:val="00874A1E"/>
    <w:rsid w:val="0087684E"/>
    <w:rsid w:val="00915C61"/>
    <w:rsid w:val="00932C5C"/>
    <w:rsid w:val="00950C63"/>
    <w:rsid w:val="009535CE"/>
    <w:rsid w:val="00955DF6"/>
    <w:rsid w:val="00982F2E"/>
    <w:rsid w:val="009904F8"/>
    <w:rsid w:val="00990F2C"/>
    <w:rsid w:val="009B01A1"/>
    <w:rsid w:val="009C2028"/>
    <w:rsid w:val="009D03AC"/>
    <w:rsid w:val="009E7647"/>
    <w:rsid w:val="009F715D"/>
    <w:rsid w:val="00A00590"/>
    <w:rsid w:val="00A01F54"/>
    <w:rsid w:val="00A977B9"/>
    <w:rsid w:val="00B01684"/>
    <w:rsid w:val="00B041E1"/>
    <w:rsid w:val="00B15266"/>
    <w:rsid w:val="00B2318C"/>
    <w:rsid w:val="00B27B41"/>
    <w:rsid w:val="00B93C9E"/>
    <w:rsid w:val="00B974D4"/>
    <w:rsid w:val="00BA1212"/>
    <w:rsid w:val="00BF1DC8"/>
    <w:rsid w:val="00C04D1B"/>
    <w:rsid w:val="00C31F0F"/>
    <w:rsid w:val="00C4334F"/>
    <w:rsid w:val="00C5524F"/>
    <w:rsid w:val="00C612EB"/>
    <w:rsid w:val="00C623EA"/>
    <w:rsid w:val="00C6291E"/>
    <w:rsid w:val="00C70D10"/>
    <w:rsid w:val="00C95556"/>
    <w:rsid w:val="00CA0388"/>
    <w:rsid w:val="00CA1F14"/>
    <w:rsid w:val="00CD36CD"/>
    <w:rsid w:val="00CD79AB"/>
    <w:rsid w:val="00CF3441"/>
    <w:rsid w:val="00CF450B"/>
    <w:rsid w:val="00D13BB1"/>
    <w:rsid w:val="00D150B7"/>
    <w:rsid w:val="00DC3F65"/>
    <w:rsid w:val="00E05112"/>
    <w:rsid w:val="00E07ACA"/>
    <w:rsid w:val="00E11EB3"/>
    <w:rsid w:val="00E81F3F"/>
    <w:rsid w:val="00E85756"/>
    <w:rsid w:val="00EE2D18"/>
    <w:rsid w:val="00F07984"/>
    <w:rsid w:val="00F416E1"/>
    <w:rsid w:val="00F51842"/>
    <w:rsid w:val="00F56607"/>
    <w:rsid w:val="00F57787"/>
    <w:rsid w:val="00F653F1"/>
    <w:rsid w:val="00F6634A"/>
    <w:rsid w:val="00F74567"/>
    <w:rsid w:val="00F806AE"/>
    <w:rsid w:val="00F9668D"/>
    <w:rsid w:val="00FA2D21"/>
    <w:rsid w:val="00FB32A1"/>
    <w:rsid w:val="00FB64CE"/>
    <w:rsid w:val="00FD7FC8"/>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 w:type="paragraph" w:styleId="NoSpacing">
    <w:name w:val="No Spacing"/>
    <w:uiPriority w:val="1"/>
    <w:qFormat/>
    <w:rsid w:val="007E72C8"/>
    <w:pPr>
      <w:widowControl w:val="0"/>
      <w:autoSpaceDE w:val="0"/>
      <w:autoSpaceDN w:val="0"/>
      <w:adjustRightInd w:val="0"/>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30</TotalTime>
  <Pages>2</Pages>
  <Words>556</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14</cp:revision>
  <cp:lastPrinted>2021-03-30T18:29:00Z</cp:lastPrinted>
  <dcterms:created xsi:type="dcterms:W3CDTF">2025-02-06T20:26:00Z</dcterms:created>
  <dcterms:modified xsi:type="dcterms:W3CDTF">2025-09-19T14:58:00Z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