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448994E2"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643B99">
        <w:rPr>
          <w:rFonts w:ascii="Arial" w:hAnsi="Arial" w:cs="Arial"/>
          <w:sz w:val="22"/>
          <w:szCs w:val="22"/>
        </w:rPr>
        <w:t>6-hour</w:t>
      </w:r>
      <w:r w:rsidRPr="00772F21">
        <w:rPr>
          <w:rFonts w:ascii="Arial" w:hAnsi="Arial" w:cs="Arial"/>
          <w:sz w:val="22"/>
          <w:szCs w:val="22"/>
        </w:rPr>
        <w:t xml:space="preserve"> program</w:t>
      </w:r>
    </w:p>
    <w:p w14:paraId="369E7396" w14:textId="0F640FD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AD6202" w:rsidRPr="00772F21">
        <w:rPr>
          <w:rFonts w:ascii="Arial" w:hAnsi="Arial" w:cs="Arial"/>
          <w:sz w:val="22"/>
          <w:szCs w:val="22"/>
        </w:rPr>
        <w:t>6</w:t>
      </w:r>
      <w:r w:rsidRPr="00772F21">
        <w:rPr>
          <w:rFonts w:ascii="Arial" w:hAnsi="Arial" w:cs="Arial"/>
          <w:sz w:val="22"/>
          <w:szCs w:val="22"/>
        </w:rPr>
        <w:t xml:space="preserve"> hours awarded</w:t>
      </w:r>
    </w:p>
    <w:p w14:paraId="1E58739D" w14:textId="0689FD5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AD6202" w:rsidRPr="00772F21">
        <w:rPr>
          <w:rFonts w:ascii="Arial" w:hAnsi="Arial" w:cs="Arial"/>
          <w:sz w:val="22"/>
          <w:szCs w:val="22"/>
        </w:rPr>
        <w:t>Accounting</w:t>
      </w:r>
    </w:p>
    <w:p w14:paraId="328A9463" w14:textId="280E3EA2"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w:t>
      </w:r>
      <w:r w:rsidR="00AD6202" w:rsidRPr="00772F21">
        <w:rPr>
          <w:rFonts w:ascii="Arial" w:hAnsi="Arial" w:cs="Arial"/>
          <w:sz w:val="22"/>
          <w:szCs w:val="22"/>
        </w:rPr>
        <w:t>Intermediate</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160C905C" w14:textId="6C9688C5"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w:t>
      </w:r>
      <w:r w:rsidR="00672D98">
        <w:rPr>
          <w:rFonts w:ascii="Arial" w:hAnsi="Arial" w:cs="Arial"/>
          <w:sz w:val="22"/>
          <w:szCs w:val="22"/>
        </w:rPr>
        <w:t>Understand</w:t>
      </w:r>
      <w:r w:rsidR="00AD6202" w:rsidRPr="00772F21">
        <w:rPr>
          <w:rFonts w:ascii="Arial" w:hAnsi="Arial" w:cs="Arial"/>
          <w:sz w:val="22"/>
          <w:szCs w:val="22"/>
        </w:rPr>
        <w:t xml:space="preserve"> </w:t>
      </w:r>
      <w:r w:rsidR="00470C0B">
        <w:rPr>
          <w:rFonts w:ascii="Arial" w:hAnsi="Arial" w:cs="Arial"/>
          <w:sz w:val="22"/>
          <w:szCs w:val="22"/>
        </w:rPr>
        <w:t xml:space="preserve">fundamental </w:t>
      </w:r>
      <w:r w:rsidR="00AD6202" w:rsidRPr="00772F21">
        <w:rPr>
          <w:rFonts w:ascii="Arial" w:hAnsi="Arial" w:cs="Arial"/>
          <w:sz w:val="22"/>
          <w:szCs w:val="22"/>
        </w:rPr>
        <w:t>oil and gas terminology and industry processes and procedures</w:t>
      </w:r>
    </w:p>
    <w:p w14:paraId="7B0AE266" w14:textId="4EDC3FE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2ED9D28B" w14:textId="15C95457"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Accounting and </w:t>
      </w:r>
      <w:r w:rsidR="00772F21">
        <w:rPr>
          <w:rFonts w:ascii="Arial" w:hAnsi="Arial" w:cs="Arial"/>
          <w:sz w:val="22"/>
          <w:szCs w:val="22"/>
        </w:rPr>
        <w:t>f</w:t>
      </w:r>
      <w:r w:rsidRPr="00AD6202">
        <w:rPr>
          <w:rFonts w:ascii="Arial" w:hAnsi="Arial" w:cs="Arial"/>
          <w:sz w:val="22"/>
          <w:szCs w:val="22"/>
        </w:rPr>
        <w:t xml:space="preserve">inancial </w:t>
      </w:r>
      <w:r w:rsidR="00772F21">
        <w:rPr>
          <w:rFonts w:ascii="Arial" w:hAnsi="Arial" w:cs="Arial"/>
          <w:sz w:val="22"/>
          <w:szCs w:val="22"/>
        </w:rPr>
        <w:t>m</w:t>
      </w:r>
      <w:r w:rsidRPr="00AD6202">
        <w:rPr>
          <w:rFonts w:ascii="Arial" w:hAnsi="Arial" w:cs="Arial"/>
          <w:sz w:val="22"/>
          <w:szCs w:val="22"/>
        </w:rPr>
        <w:t>anagers</w:t>
      </w:r>
    </w:p>
    <w:p w14:paraId="756EE467" w14:textId="1038DE01"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Financial </w:t>
      </w:r>
      <w:r w:rsidR="00E44D59">
        <w:rPr>
          <w:rFonts w:ascii="Arial" w:hAnsi="Arial" w:cs="Arial"/>
          <w:sz w:val="22"/>
          <w:szCs w:val="22"/>
        </w:rPr>
        <w:t>a</w:t>
      </w:r>
      <w:r w:rsidRPr="00AD6202">
        <w:rPr>
          <w:rFonts w:ascii="Arial" w:hAnsi="Arial" w:cs="Arial"/>
          <w:sz w:val="22"/>
          <w:szCs w:val="22"/>
        </w:rPr>
        <w:t>ccountants responsible for profit/loss analysis</w:t>
      </w:r>
    </w:p>
    <w:p w14:paraId="3A3D2F51" w14:textId="327782D2" w:rsidR="00AD6202" w:rsidRPr="00AD6202" w:rsidRDefault="00AD6202" w:rsidP="00AD6202">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New </w:t>
      </w:r>
      <w:r w:rsidR="00E44D59">
        <w:rPr>
          <w:rFonts w:ascii="Arial" w:hAnsi="Arial" w:cs="Arial"/>
          <w:sz w:val="22"/>
          <w:szCs w:val="22"/>
        </w:rPr>
        <w:t>a</w:t>
      </w:r>
      <w:r w:rsidRPr="00AD6202">
        <w:rPr>
          <w:rFonts w:ascii="Arial" w:hAnsi="Arial" w:cs="Arial"/>
          <w:sz w:val="22"/>
          <w:szCs w:val="22"/>
        </w:rPr>
        <w:t>ccountants seeking an understanding of company objectives and related measurement tools</w:t>
      </w:r>
    </w:p>
    <w:p w14:paraId="1CF1EF59" w14:textId="34594702" w:rsidR="00AD6202" w:rsidRPr="00E44D59" w:rsidRDefault="00AD6202" w:rsidP="00E44D59">
      <w:pPr>
        <w:pStyle w:val="BodyText"/>
        <w:numPr>
          <w:ilvl w:val="0"/>
          <w:numId w:val="12"/>
        </w:numPr>
        <w:kinsoku w:val="0"/>
        <w:overflowPunct w:val="0"/>
        <w:spacing w:before="12"/>
        <w:rPr>
          <w:rFonts w:ascii="Arial" w:hAnsi="Arial" w:cs="Arial"/>
          <w:sz w:val="22"/>
          <w:szCs w:val="22"/>
        </w:rPr>
      </w:pPr>
      <w:r w:rsidRPr="00AD6202">
        <w:rPr>
          <w:rFonts w:ascii="Arial" w:hAnsi="Arial" w:cs="Arial"/>
          <w:sz w:val="22"/>
          <w:szCs w:val="22"/>
        </w:rPr>
        <w:t xml:space="preserve">Consultants seeking a better understanding of their </w:t>
      </w:r>
      <w:r w:rsidR="00E44D59">
        <w:rPr>
          <w:rFonts w:ascii="Arial" w:hAnsi="Arial" w:cs="Arial"/>
          <w:sz w:val="22"/>
          <w:szCs w:val="22"/>
        </w:rPr>
        <w:t>b</w:t>
      </w:r>
      <w:r w:rsidRPr="00E44D59">
        <w:rPr>
          <w:rFonts w:ascii="Arial" w:hAnsi="Arial" w:cs="Arial"/>
          <w:sz w:val="22"/>
          <w:szCs w:val="22"/>
        </w:rPr>
        <w:t xml:space="preserve">ankers and </w:t>
      </w:r>
      <w:r w:rsidR="00E44D59">
        <w:rPr>
          <w:rFonts w:ascii="Arial" w:hAnsi="Arial" w:cs="Arial"/>
          <w:sz w:val="22"/>
          <w:szCs w:val="22"/>
        </w:rPr>
        <w:t>i</w:t>
      </w:r>
      <w:r w:rsidRPr="00E44D59">
        <w:rPr>
          <w:rFonts w:ascii="Arial" w:hAnsi="Arial" w:cs="Arial"/>
          <w:sz w:val="22"/>
          <w:szCs w:val="22"/>
        </w:rPr>
        <w:t xml:space="preserve">nvestment </w:t>
      </w:r>
      <w:r w:rsidR="00E44D59">
        <w:rPr>
          <w:rFonts w:ascii="Arial" w:hAnsi="Arial" w:cs="Arial"/>
          <w:sz w:val="22"/>
          <w:szCs w:val="22"/>
        </w:rPr>
        <w:t>p</w:t>
      </w:r>
      <w:r w:rsidRPr="00E44D59">
        <w:rPr>
          <w:rFonts w:ascii="Arial" w:hAnsi="Arial" w:cs="Arial"/>
          <w:sz w:val="22"/>
          <w:szCs w:val="22"/>
        </w:rPr>
        <w:t xml:space="preserve">rofessionals who analyze </w:t>
      </w:r>
      <w:r w:rsidR="00E44D59">
        <w:rPr>
          <w:rFonts w:ascii="Arial" w:hAnsi="Arial" w:cs="Arial"/>
          <w:sz w:val="22"/>
          <w:szCs w:val="22"/>
        </w:rPr>
        <w:t>u</w:t>
      </w:r>
      <w:r w:rsidRPr="00E44D59">
        <w:rPr>
          <w:rFonts w:ascii="Arial" w:hAnsi="Arial" w:cs="Arial"/>
          <w:sz w:val="22"/>
          <w:szCs w:val="22"/>
        </w:rPr>
        <w:t xml:space="preserve">pstream </w:t>
      </w:r>
      <w:r w:rsidR="00E44D59">
        <w:rPr>
          <w:rFonts w:ascii="Arial" w:hAnsi="Arial" w:cs="Arial"/>
          <w:sz w:val="22"/>
          <w:szCs w:val="22"/>
        </w:rPr>
        <w:t>o</w:t>
      </w:r>
      <w:r w:rsidRPr="00E44D59">
        <w:rPr>
          <w:rFonts w:ascii="Arial" w:hAnsi="Arial" w:cs="Arial"/>
          <w:sz w:val="22"/>
          <w:szCs w:val="22"/>
        </w:rPr>
        <w:t xml:space="preserve">il </w:t>
      </w:r>
      <w:r w:rsidR="00643B99">
        <w:rPr>
          <w:rFonts w:ascii="Arial" w:hAnsi="Arial" w:cs="Arial"/>
          <w:sz w:val="22"/>
          <w:szCs w:val="22"/>
        </w:rPr>
        <w:t>and</w:t>
      </w:r>
      <w:r w:rsidRPr="00E44D59">
        <w:rPr>
          <w:rFonts w:ascii="Arial" w:hAnsi="Arial" w:cs="Arial"/>
          <w:sz w:val="22"/>
          <w:szCs w:val="22"/>
        </w:rPr>
        <w:t xml:space="preserve"> </w:t>
      </w:r>
      <w:r w:rsidR="00E44D59">
        <w:rPr>
          <w:rFonts w:ascii="Arial" w:hAnsi="Arial" w:cs="Arial"/>
          <w:sz w:val="22"/>
          <w:szCs w:val="22"/>
        </w:rPr>
        <w:t>g</w:t>
      </w:r>
      <w:r w:rsidRPr="00E44D59">
        <w:rPr>
          <w:rFonts w:ascii="Arial" w:hAnsi="Arial" w:cs="Arial"/>
          <w:sz w:val="22"/>
          <w:szCs w:val="22"/>
        </w:rPr>
        <w:t>as companies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744956E0"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 xml:space="preserve">Apply financial ratios to key company ideas and objectives </w:t>
      </w:r>
    </w:p>
    <w:p w14:paraId="3C96BE0B"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Establish a process for determining success/failure possibilities utilizing specific industry ratios and metrics</w:t>
      </w:r>
    </w:p>
    <w:p w14:paraId="7E0590C5" w14:textId="77777777" w:rsidR="00AD6202" w:rsidRPr="00AD6202" w:rsidRDefault="00AD6202" w:rsidP="00AD6202">
      <w:pPr>
        <w:pStyle w:val="BodyText"/>
        <w:numPr>
          <w:ilvl w:val="0"/>
          <w:numId w:val="13"/>
        </w:numPr>
        <w:kinsoku w:val="0"/>
        <w:overflowPunct w:val="0"/>
        <w:spacing w:before="1"/>
        <w:rPr>
          <w:rFonts w:ascii="Arial" w:hAnsi="Arial" w:cs="Arial"/>
          <w:sz w:val="22"/>
          <w:szCs w:val="22"/>
        </w:rPr>
      </w:pPr>
      <w:r w:rsidRPr="00AD6202">
        <w:rPr>
          <w:rFonts w:ascii="Arial" w:hAnsi="Arial" w:cs="Arial"/>
          <w:sz w:val="22"/>
          <w:szCs w:val="22"/>
        </w:rPr>
        <w:t>Demonstrate proficiency and understanding of each of the topics listed below</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28C3B4EB" w14:textId="77777777" w:rsidR="00AD6202" w:rsidRPr="00AD6202" w:rsidRDefault="00AD6202" w:rsidP="00AD6202">
      <w:pPr>
        <w:pStyle w:val="PlainText"/>
        <w:numPr>
          <w:ilvl w:val="0"/>
          <w:numId w:val="15"/>
        </w:numPr>
        <w:rPr>
          <w:rFonts w:ascii="Arial" w:hAnsi="Arial" w:cs="Arial"/>
          <w:sz w:val="22"/>
          <w:szCs w:val="22"/>
        </w:rPr>
      </w:pPr>
      <w:r w:rsidRPr="00AD6202">
        <w:rPr>
          <w:rFonts w:ascii="Arial" w:hAnsi="Arial" w:cs="Arial"/>
          <w:sz w:val="22"/>
          <w:szCs w:val="22"/>
        </w:rPr>
        <w:t>Introduction</w:t>
      </w:r>
    </w:p>
    <w:p w14:paraId="77006DB7"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Where finance and accounting personnel can add value to an organization</w:t>
      </w:r>
    </w:p>
    <w:p w14:paraId="667DF738"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Objectives of financial ratio analysis</w:t>
      </w:r>
    </w:p>
    <w:p w14:paraId="0982155C"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Who uses financials ratios and metrics</w:t>
      </w:r>
    </w:p>
    <w:p w14:paraId="5E7A211E" w14:textId="77777777" w:rsidR="00AD6202" w:rsidRPr="00AD6202" w:rsidRDefault="00AD6202" w:rsidP="00E44D59">
      <w:pPr>
        <w:pStyle w:val="PlainText"/>
        <w:numPr>
          <w:ilvl w:val="0"/>
          <w:numId w:val="17"/>
        </w:numPr>
        <w:rPr>
          <w:rFonts w:ascii="Arial" w:hAnsi="Arial" w:cs="Arial"/>
          <w:sz w:val="22"/>
          <w:szCs w:val="22"/>
        </w:rPr>
      </w:pPr>
      <w:r w:rsidRPr="00AD6202">
        <w:rPr>
          <w:rFonts w:ascii="Arial" w:hAnsi="Arial" w:cs="Arial"/>
          <w:sz w:val="22"/>
          <w:szCs w:val="22"/>
        </w:rPr>
        <w:t>Value of data relationships</w:t>
      </w:r>
    </w:p>
    <w:p w14:paraId="0E556CAB"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Steps to creating a useful analysis</w:t>
      </w:r>
    </w:p>
    <w:p w14:paraId="7E369DC1" w14:textId="2297F9CB"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Ratio </w:t>
      </w:r>
      <w:r w:rsidR="00643B99">
        <w:rPr>
          <w:rFonts w:ascii="Arial" w:hAnsi="Arial" w:cs="Arial"/>
          <w:sz w:val="22"/>
          <w:szCs w:val="22"/>
        </w:rPr>
        <w:t>t</w:t>
      </w:r>
      <w:r w:rsidRPr="00AD6202">
        <w:rPr>
          <w:rFonts w:ascii="Arial" w:hAnsi="Arial" w:cs="Arial"/>
          <w:sz w:val="22"/>
          <w:szCs w:val="22"/>
        </w:rPr>
        <w:t>ypes</w:t>
      </w:r>
    </w:p>
    <w:p w14:paraId="104EF9D1"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Comparative reference points</w:t>
      </w:r>
    </w:p>
    <w:p w14:paraId="40D26E6A" w14:textId="05960DFC"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Common </w:t>
      </w:r>
      <w:r w:rsidR="00E44D59">
        <w:rPr>
          <w:rFonts w:ascii="Arial" w:hAnsi="Arial" w:cs="Arial"/>
          <w:sz w:val="22"/>
          <w:szCs w:val="22"/>
        </w:rPr>
        <w:t>g</w:t>
      </w:r>
      <w:r w:rsidRPr="00AD6202">
        <w:rPr>
          <w:rFonts w:ascii="Arial" w:hAnsi="Arial" w:cs="Arial"/>
          <w:sz w:val="22"/>
          <w:szCs w:val="22"/>
        </w:rPr>
        <w:t xml:space="preserve">eneric </w:t>
      </w:r>
      <w:r w:rsidR="00E44D59">
        <w:rPr>
          <w:rFonts w:ascii="Arial" w:hAnsi="Arial" w:cs="Arial"/>
          <w:sz w:val="22"/>
          <w:szCs w:val="22"/>
        </w:rPr>
        <w:t>r</w:t>
      </w:r>
      <w:r w:rsidRPr="00AD6202">
        <w:rPr>
          <w:rFonts w:ascii="Arial" w:hAnsi="Arial" w:cs="Arial"/>
          <w:sz w:val="22"/>
          <w:szCs w:val="22"/>
        </w:rPr>
        <w:t>atios (</w:t>
      </w:r>
      <w:r w:rsidR="00E44D59">
        <w:rPr>
          <w:rFonts w:ascii="Arial" w:hAnsi="Arial" w:cs="Arial"/>
          <w:sz w:val="22"/>
          <w:szCs w:val="22"/>
        </w:rPr>
        <w:t>b</w:t>
      </w:r>
      <w:r w:rsidRPr="00AD6202">
        <w:rPr>
          <w:rFonts w:ascii="Arial" w:hAnsi="Arial" w:cs="Arial"/>
          <w:sz w:val="22"/>
          <w:szCs w:val="22"/>
        </w:rPr>
        <w:t>ackground)</w:t>
      </w:r>
    </w:p>
    <w:p w14:paraId="63E2A7C8" w14:textId="489966BF"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Why are there unique ratios and analysis required for </w:t>
      </w:r>
      <w:r w:rsidR="00E44D59">
        <w:rPr>
          <w:rFonts w:ascii="Arial" w:hAnsi="Arial" w:cs="Arial"/>
          <w:sz w:val="22"/>
          <w:szCs w:val="22"/>
        </w:rPr>
        <w:t>o</w:t>
      </w:r>
      <w:r w:rsidRPr="00AD6202">
        <w:rPr>
          <w:rFonts w:ascii="Arial" w:hAnsi="Arial" w:cs="Arial"/>
          <w:sz w:val="22"/>
          <w:szCs w:val="22"/>
        </w:rPr>
        <w:t xml:space="preserve">il and </w:t>
      </w:r>
      <w:r w:rsidR="00E44D59">
        <w:rPr>
          <w:rFonts w:ascii="Arial" w:hAnsi="Arial" w:cs="Arial"/>
          <w:sz w:val="22"/>
          <w:szCs w:val="22"/>
        </w:rPr>
        <w:t>g</w:t>
      </w:r>
      <w:r w:rsidRPr="00AD6202">
        <w:rPr>
          <w:rFonts w:ascii="Arial" w:hAnsi="Arial" w:cs="Arial"/>
          <w:sz w:val="22"/>
          <w:szCs w:val="22"/>
        </w:rPr>
        <w:t>as companies</w:t>
      </w:r>
    </w:p>
    <w:p w14:paraId="094B843E" w14:textId="0143216F"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Key </w:t>
      </w:r>
      <w:r w:rsidR="00E44D59">
        <w:rPr>
          <w:rFonts w:ascii="Arial" w:hAnsi="Arial" w:cs="Arial"/>
          <w:sz w:val="22"/>
          <w:szCs w:val="22"/>
        </w:rPr>
        <w:t>d</w:t>
      </w:r>
      <w:r w:rsidRPr="00AD6202">
        <w:rPr>
          <w:rFonts w:ascii="Arial" w:hAnsi="Arial" w:cs="Arial"/>
          <w:sz w:val="22"/>
          <w:szCs w:val="22"/>
        </w:rPr>
        <w:t xml:space="preserve">efinitions for </w:t>
      </w:r>
      <w:r w:rsidR="00E44D59">
        <w:rPr>
          <w:rFonts w:ascii="Arial" w:hAnsi="Arial" w:cs="Arial"/>
          <w:sz w:val="22"/>
          <w:szCs w:val="22"/>
        </w:rPr>
        <w:t>o</w:t>
      </w:r>
      <w:r w:rsidRPr="00AD6202">
        <w:rPr>
          <w:rFonts w:ascii="Arial" w:hAnsi="Arial" w:cs="Arial"/>
          <w:sz w:val="22"/>
          <w:szCs w:val="22"/>
        </w:rPr>
        <w:t xml:space="preserve">il and </w:t>
      </w:r>
      <w:r w:rsidR="00E44D59">
        <w:rPr>
          <w:rFonts w:ascii="Arial" w:hAnsi="Arial" w:cs="Arial"/>
          <w:sz w:val="22"/>
          <w:szCs w:val="22"/>
        </w:rPr>
        <w:t>g</w:t>
      </w:r>
      <w:r w:rsidRPr="00AD6202">
        <w:rPr>
          <w:rFonts w:ascii="Arial" w:hAnsi="Arial" w:cs="Arial"/>
          <w:sz w:val="22"/>
          <w:szCs w:val="22"/>
        </w:rPr>
        <w:t>as</w:t>
      </w:r>
    </w:p>
    <w:p w14:paraId="311CF72C" w14:textId="4C5E52B9"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Primary </w:t>
      </w:r>
      <w:r w:rsidR="00DA206F">
        <w:rPr>
          <w:rFonts w:ascii="Arial" w:hAnsi="Arial" w:cs="Arial"/>
          <w:sz w:val="22"/>
          <w:szCs w:val="22"/>
        </w:rPr>
        <w:t>o</w:t>
      </w:r>
      <w:r w:rsidR="00DA206F" w:rsidRPr="00E44D59">
        <w:rPr>
          <w:rFonts w:ascii="Arial" w:hAnsi="Arial" w:cs="Arial"/>
          <w:sz w:val="22"/>
          <w:szCs w:val="22"/>
        </w:rPr>
        <w:t xml:space="preserve">il </w:t>
      </w:r>
      <w:r w:rsidR="00DA206F">
        <w:rPr>
          <w:rFonts w:ascii="Arial" w:hAnsi="Arial" w:cs="Arial"/>
          <w:sz w:val="22"/>
          <w:szCs w:val="22"/>
        </w:rPr>
        <w:t>and</w:t>
      </w:r>
      <w:r w:rsidR="00DA206F" w:rsidRPr="00E44D59">
        <w:rPr>
          <w:rFonts w:ascii="Arial" w:hAnsi="Arial" w:cs="Arial"/>
          <w:sz w:val="22"/>
          <w:szCs w:val="22"/>
        </w:rPr>
        <w:t xml:space="preserve"> </w:t>
      </w:r>
      <w:r w:rsidR="00DA206F">
        <w:rPr>
          <w:rFonts w:ascii="Arial" w:hAnsi="Arial" w:cs="Arial"/>
          <w:sz w:val="22"/>
          <w:szCs w:val="22"/>
        </w:rPr>
        <w:t>g</w:t>
      </w:r>
      <w:r w:rsidR="00DA206F" w:rsidRPr="00E44D59">
        <w:rPr>
          <w:rFonts w:ascii="Arial" w:hAnsi="Arial" w:cs="Arial"/>
          <w:sz w:val="22"/>
          <w:szCs w:val="22"/>
        </w:rPr>
        <w:t xml:space="preserve">as </w:t>
      </w:r>
      <w:r w:rsidR="00E44D59">
        <w:rPr>
          <w:rFonts w:ascii="Arial" w:hAnsi="Arial" w:cs="Arial"/>
          <w:sz w:val="22"/>
          <w:szCs w:val="22"/>
        </w:rPr>
        <w:t>r</w:t>
      </w:r>
      <w:r w:rsidRPr="00AD6202">
        <w:rPr>
          <w:rFonts w:ascii="Arial" w:hAnsi="Arial" w:cs="Arial"/>
          <w:sz w:val="22"/>
          <w:szCs w:val="22"/>
        </w:rPr>
        <w:t>atios</w:t>
      </w:r>
    </w:p>
    <w:p w14:paraId="3F4312C0" w14:textId="30A0E0D2"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Supplemental </w:t>
      </w:r>
      <w:r w:rsidR="00E44D59">
        <w:rPr>
          <w:rFonts w:ascii="Arial" w:hAnsi="Arial" w:cs="Arial"/>
          <w:sz w:val="22"/>
          <w:szCs w:val="22"/>
        </w:rPr>
        <w:t>d</w:t>
      </w:r>
      <w:r w:rsidRPr="00AD6202">
        <w:rPr>
          <w:rFonts w:ascii="Arial" w:hAnsi="Arial" w:cs="Arial"/>
          <w:sz w:val="22"/>
          <w:szCs w:val="22"/>
        </w:rPr>
        <w:t xml:space="preserve">isclosures </w:t>
      </w:r>
      <w:r w:rsidR="00DA206F">
        <w:rPr>
          <w:rFonts w:ascii="Arial" w:hAnsi="Arial" w:cs="Arial"/>
          <w:sz w:val="22"/>
          <w:szCs w:val="22"/>
        </w:rPr>
        <w:t xml:space="preserve">– </w:t>
      </w:r>
      <w:r w:rsidRPr="00AD6202">
        <w:rPr>
          <w:rFonts w:ascii="Arial" w:hAnsi="Arial" w:cs="Arial"/>
          <w:sz w:val="22"/>
          <w:szCs w:val="22"/>
        </w:rPr>
        <w:t xml:space="preserve">FASB 69 </w:t>
      </w:r>
      <w:r w:rsidR="00E44D59">
        <w:rPr>
          <w:rFonts w:ascii="Arial" w:hAnsi="Arial" w:cs="Arial"/>
          <w:sz w:val="22"/>
          <w:szCs w:val="22"/>
        </w:rPr>
        <w:t>r</w:t>
      </w:r>
      <w:r w:rsidRPr="00AD6202">
        <w:rPr>
          <w:rFonts w:ascii="Arial" w:hAnsi="Arial" w:cs="Arial"/>
          <w:sz w:val="22"/>
          <w:szCs w:val="22"/>
        </w:rPr>
        <w:t xml:space="preserve">equirements and how they can be </w:t>
      </w:r>
      <w:r w:rsidR="00E44D59">
        <w:rPr>
          <w:rFonts w:ascii="Arial" w:hAnsi="Arial" w:cs="Arial"/>
          <w:sz w:val="22"/>
          <w:szCs w:val="22"/>
        </w:rPr>
        <w:t>u</w:t>
      </w:r>
      <w:r w:rsidRPr="00AD6202">
        <w:rPr>
          <w:rFonts w:ascii="Arial" w:hAnsi="Arial" w:cs="Arial"/>
          <w:sz w:val="22"/>
          <w:szCs w:val="22"/>
        </w:rPr>
        <w:t>tilized</w:t>
      </w:r>
    </w:p>
    <w:p w14:paraId="0B331955" w14:textId="419A2423"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Non-</w:t>
      </w:r>
      <w:r w:rsidR="00E44D59">
        <w:rPr>
          <w:rFonts w:ascii="Arial" w:hAnsi="Arial" w:cs="Arial"/>
          <w:sz w:val="22"/>
          <w:szCs w:val="22"/>
        </w:rPr>
        <w:t>f</w:t>
      </w:r>
      <w:r w:rsidRPr="00AD6202">
        <w:rPr>
          <w:rFonts w:ascii="Arial" w:hAnsi="Arial" w:cs="Arial"/>
          <w:sz w:val="22"/>
          <w:szCs w:val="22"/>
        </w:rPr>
        <w:t xml:space="preserve">inancial </w:t>
      </w:r>
      <w:r w:rsidR="00E44D59">
        <w:rPr>
          <w:rFonts w:ascii="Arial" w:hAnsi="Arial" w:cs="Arial"/>
          <w:sz w:val="22"/>
          <w:szCs w:val="22"/>
        </w:rPr>
        <w:t>m</w:t>
      </w:r>
      <w:r w:rsidRPr="00AD6202">
        <w:rPr>
          <w:rFonts w:ascii="Arial" w:hAnsi="Arial" w:cs="Arial"/>
          <w:sz w:val="22"/>
          <w:szCs w:val="22"/>
        </w:rPr>
        <w:t>etrics</w:t>
      </w:r>
    </w:p>
    <w:p w14:paraId="425F9397" w14:textId="441A04E5"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 xml:space="preserve">Measuring </w:t>
      </w:r>
      <w:r w:rsidR="00E44D59">
        <w:rPr>
          <w:rFonts w:ascii="Arial" w:hAnsi="Arial" w:cs="Arial"/>
          <w:sz w:val="22"/>
          <w:szCs w:val="22"/>
        </w:rPr>
        <w:t>l</w:t>
      </w:r>
      <w:r w:rsidRPr="00AD6202">
        <w:rPr>
          <w:rFonts w:ascii="Arial" w:hAnsi="Arial" w:cs="Arial"/>
          <w:sz w:val="22"/>
          <w:szCs w:val="22"/>
        </w:rPr>
        <w:t xml:space="preserve">ong-term </w:t>
      </w:r>
      <w:r w:rsidR="00E44D59">
        <w:rPr>
          <w:rFonts w:ascii="Arial" w:hAnsi="Arial" w:cs="Arial"/>
          <w:sz w:val="22"/>
          <w:szCs w:val="22"/>
        </w:rPr>
        <w:t>s</w:t>
      </w:r>
      <w:r w:rsidRPr="00AD6202">
        <w:rPr>
          <w:rFonts w:ascii="Arial" w:hAnsi="Arial" w:cs="Arial"/>
          <w:sz w:val="22"/>
          <w:szCs w:val="22"/>
        </w:rPr>
        <w:t>uccess for an oil and gas company</w:t>
      </w:r>
    </w:p>
    <w:p w14:paraId="67ADED28" w14:textId="77777777" w:rsidR="00AD6202" w:rsidRPr="00AD6202" w:rsidRDefault="00AD6202" w:rsidP="00AD6202">
      <w:pPr>
        <w:pStyle w:val="PlainText"/>
        <w:numPr>
          <w:ilvl w:val="0"/>
          <w:numId w:val="14"/>
        </w:numPr>
        <w:rPr>
          <w:rFonts w:ascii="Arial" w:hAnsi="Arial" w:cs="Arial"/>
          <w:sz w:val="22"/>
          <w:szCs w:val="22"/>
        </w:rPr>
      </w:pPr>
      <w:r w:rsidRPr="00AD6202">
        <w:rPr>
          <w:rFonts w:ascii="Arial" w:hAnsi="Arial" w:cs="Arial"/>
          <w:sz w:val="22"/>
          <w:szCs w:val="22"/>
        </w:rPr>
        <w:t>Implementation</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7CBE1073"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14F92DC3" w14:textId="2EF71901" w:rsidR="00DA206F" w:rsidRDefault="00DA206F" w:rsidP="00DA206F">
      <w:pPr>
        <w:pStyle w:val="PlainText"/>
        <w:tabs>
          <w:tab w:val="left" w:pos="1230"/>
        </w:tabs>
        <w:spacing w:line="276" w:lineRule="auto"/>
        <w:rPr>
          <w:rFonts w:ascii="Arial" w:hAnsi="Arial" w:cs="Arial"/>
          <w:b/>
          <w:bCs/>
          <w:sz w:val="22"/>
          <w:szCs w:val="22"/>
        </w:rPr>
      </w:pPr>
      <w:r>
        <w:rPr>
          <w:rFonts w:ascii="Arial" w:hAnsi="Arial" w:cs="Arial"/>
          <w:b/>
          <w:bCs/>
          <w:sz w:val="22"/>
          <w:szCs w:val="22"/>
        </w:rPr>
        <w:tab/>
      </w:r>
    </w:p>
    <w:p w14:paraId="3746B769" w14:textId="77777777" w:rsidR="00DA206F" w:rsidRDefault="00DA206F" w:rsidP="00B041E1">
      <w:pPr>
        <w:pStyle w:val="PlainText"/>
        <w:spacing w:line="276" w:lineRule="auto"/>
        <w:rPr>
          <w:rFonts w:ascii="Arial" w:hAnsi="Arial" w:cs="Arial"/>
          <w:b/>
          <w:bCs/>
          <w:sz w:val="22"/>
          <w:szCs w:val="22"/>
        </w:rPr>
      </w:pPr>
    </w:p>
    <w:p w14:paraId="54E3F8CF" w14:textId="365D605E"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CA83" w14:textId="77777777" w:rsidR="00765DFB" w:rsidRDefault="00765DFB">
      <w:r>
        <w:separator/>
      </w:r>
    </w:p>
  </w:endnote>
  <w:endnote w:type="continuationSeparator" w:id="0">
    <w:p w14:paraId="2941CB92" w14:textId="77777777" w:rsidR="00765DFB" w:rsidRDefault="00765DFB">
      <w:r>
        <w:continuationSeparator/>
      </w:r>
    </w:p>
  </w:endnote>
  <w:endnote w:type="continuationNotice" w:id="1">
    <w:p w14:paraId="066ED246" w14:textId="77777777" w:rsidR="00765DFB" w:rsidRDefault="00765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1FCC78F0"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FA34A2">
          <w:rPr>
            <w:rFonts w:ascii="Arial" w:hAnsi="Arial" w:cs="Arial"/>
            <w:sz w:val="20"/>
            <w:szCs w:val="20"/>
          </w:rPr>
          <w:t xml:space="preserve"> </w:t>
        </w:r>
        <w:r w:rsidR="00FA34A2">
          <w:rPr>
            <w:rFonts w:ascii="Arial" w:hAnsi="Arial" w:cs="Arial"/>
            <w:sz w:val="20"/>
            <w:szCs w:val="20"/>
          </w:rPr>
          <w:fldChar w:fldCharType="begin"/>
        </w:r>
        <w:r w:rsidR="00FA34A2">
          <w:rPr>
            <w:rFonts w:ascii="Arial" w:hAnsi="Arial" w:cs="Arial"/>
            <w:sz w:val="20"/>
            <w:szCs w:val="20"/>
          </w:rPr>
          <w:instrText xml:space="preserve"> DATE  \@ "M.d.yyyy"  \* MERGEFORMAT </w:instrText>
        </w:r>
        <w:r w:rsidR="00FA34A2">
          <w:rPr>
            <w:rFonts w:ascii="Arial" w:hAnsi="Arial" w:cs="Arial"/>
            <w:sz w:val="20"/>
            <w:szCs w:val="20"/>
          </w:rPr>
          <w:fldChar w:fldCharType="separate"/>
        </w:r>
        <w:r w:rsidR="00FA34A2">
          <w:rPr>
            <w:rFonts w:ascii="Arial" w:hAnsi="Arial" w:cs="Arial"/>
            <w:noProof/>
            <w:sz w:val="20"/>
            <w:szCs w:val="20"/>
          </w:rPr>
          <w:t>9.19.2025</w:t>
        </w:r>
        <w:r w:rsidR="00FA34A2">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A37D" w14:textId="77777777" w:rsidR="00765DFB" w:rsidRDefault="00765DFB">
      <w:r>
        <w:separator/>
      </w:r>
    </w:p>
  </w:footnote>
  <w:footnote w:type="continuationSeparator" w:id="0">
    <w:p w14:paraId="23FEDDF5" w14:textId="77777777" w:rsidR="00765DFB" w:rsidRDefault="00765DFB">
      <w:r>
        <w:continuationSeparator/>
      </w:r>
    </w:p>
  </w:footnote>
  <w:footnote w:type="continuationNotice" w:id="1">
    <w:p w14:paraId="23270F6F" w14:textId="77777777" w:rsidR="00765DFB" w:rsidRDefault="00765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8B3A" w14:textId="77777777" w:rsidR="00982A9A" w:rsidRDefault="00F57787" w:rsidP="00FE57EA">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202">
      <w:rPr>
        <w:rFonts w:ascii="Arial" w:hAnsi="Arial" w:cs="Arial"/>
        <w:b/>
        <w:bCs/>
        <w:sz w:val="40"/>
        <w:szCs w:val="40"/>
      </w:rPr>
      <w:t xml:space="preserve">OIL </w:t>
    </w:r>
    <w:r w:rsidR="00982A9A">
      <w:rPr>
        <w:rFonts w:ascii="Arial" w:hAnsi="Arial" w:cs="Arial"/>
        <w:b/>
        <w:bCs/>
        <w:sz w:val="40"/>
        <w:szCs w:val="40"/>
      </w:rPr>
      <w:t>&amp;</w:t>
    </w:r>
    <w:r w:rsidR="00AD6202">
      <w:rPr>
        <w:rFonts w:ascii="Arial" w:hAnsi="Arial" w:cs="Arial"/>
        <w:b/>
        <w:bCs/>
        <w:sz w:val="40"/>
        <w:szCs w:val="40"/>
      </w:rPr>
      <w:t xml:space="preserve"> GAS COMPANY </w:t>
    </w:r>
  </w:p>
  <w:p w14:paraId="02CBF1E2" w14:textId="75DD76A9" w:rsidR="00CF450B" w:rsidRPr="00F51842" w:rsidRDefault="00AD6202" w:rsidP="00FE57EA">
    <w:pPr>
      <w:pStyle w:val="BodyText"/>
      <w:kinsoku w:val="0"/>
      <w:overflowPunct w:val="0"/>
      <w:spacing w:before="26" w:after="240"/>
      <w:contextualSpacing/>
      <w:rPr>
        <w:rFonts w:ascii="Arial" w:hAnsi="Arial" w:cs="Arial"/>
        <w:b/>
        <w:bCs/>
        <w:sz w:val="40"/>
        <w:szCs w:val="40"/>
      </w:rPr>
    </w:pPr>
    <w:r>
      <w:rPr>
        <w:rFonts w:ascii="Arial" w:hAnsi="Arial" w:cs="Arial"/>
        <w:b/>
        <w:bCs/>
        <w:sz w:val="40"/>
        <w:szCs w:val="40"/>
      </w:rPr>
      <w:t>FINANCIAL &amp;</w:t>
    </w:r>
    <w:r w:rsidR="00982A9A">
      <w:rPr>
        <w:rFonts w:ascii="Arial" w:hAnsi="Arial" w:cs="Arial"/>
        <w:b/>
        <w:bCs/>
        <w:sz w:val="40"/>
        <w:szCs w:val="40"/>
      </w:rPr>
      <w:t xml:space="preserve"> </w:t>
    </w:r>
    <w:r>
      <w:rPr>
        <w:rFonts w:ascii="Arial" w:hAnsi="Arial" w:cs="Arial"/>
        <w:b/>
        <w:bCs/>
        <w:sz w:val="40"/>
        <w:szCs w:val="40"/>
      </w:rPr>
      <w:t>RATIO ANALYSIS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10"/>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284822485">
    <w:abstractNumId w:val="8"/>
  </w:num>
  <w:num w:numId="13" w16cid:durableId="1568607700">
    <w:abstractNumId w:val="11"/>
  </w:num>
  <w:num w:numId="14" w16cid:durableId="954214910">
    <w:abstractNumId w:val="9"/>
  </w:num>
  <w:num w:numId="15" w16cid:durableId="133183260">
    <w:abstractNumId w:val="16"/>
  </w:num>
  <w:num w:numId="16" w16cid:durableId="2143158877">
    <w:abstractNumId w:val="14"/>
  </w:num>
  <w:num w:numId="17" w16cid:durableId="1196507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5783D"/>
    <w:rsid w:val="00183316"/>
    <w:rsid w:val="00186D1A"/>
    <w:rsid w:val="001B1EF6"/>
    <w:rsid w:val="001B4738"/>
    <w:rsid w:val="001D71E9"/>
    <w:rsid w:val="001E1E79"/>
    <w:rsid w:val="00261F1D"/>
    <w:rsid w:val="00297D8E"/>
    <w:rsid w:val="002C4928"/>
    <w:rsid w:val="002E4FDD"/>
    <w:rsid w:val="00327DA9"/>
    <w:rsid w:val="003716CE"/>
    <w:rsid w:val="00380145"/>
    <w:rsid w:val="003A0B4B"/>
    <w:rsid w:val="003A4069"/>
    <w:rsid w:val="003A6C3B"/>
    <w:rsid w:val="003C7F23"/>
    <w:rsid w:val="003D056C"/>
    <w:rsid w:val="003D7A69"/>
    <w:rsid w:val="00411AA5"/>
    <w:rsid w:val="0041606C"/>
    <w:rsid w:val="0042798F"/>
    <w:rsid w:val="00445AC3"/>
    <w:rsid w:val="00450E5F"/>
    <w:rsid w:val="00470C0B"/>
    <w:rsid w:val="004B3176"/>
    <w:rsid w:val="004C19C3"/>
    <w:rsid w:val="004C3CEE"/>
    <w:rsid w:val="004E322B"/>
    <w:rsid w:val="004E456A"/>
    <w:rsid w:val="004F3F28"/>
    <w:rsid w:val="005166BF"/>
    <w:rsid w:val="00525E4F"/>
    <w:rsid w:val="005441B1"/>
    <w:rsid w:val="00552353"/>
    <w:rsid w:val="00563435"/>
    <w:rsid w:val="005727BC"/>
    <w:rsid w:val="00595B96"/>
    <w:rsid w:val="005C24CB"/>
    <w:rsid w:val="005C6EAC"/>
    <w:rsid w:val="005E1553"/>
    <w:rsid w:val="00627452"/>
    <w:rsid w:val="00643B99"/>
    <w:rsid w:val="00650819"/>
    <w:rsid w:val="006661B3"/>
    <w:rsid w:val="00667103"/>
    <w:rsid w:val="00672D98"/>
    <w:rsid w:val="00691E99"/>
    <w:rsid w:val="006A348E"/>
    <w:rsid w:val="00764839"/>
    <w:rsid w:val="00765DFB"/>
    <w:rsid w:val="00772F21"/>
    <w:rsid w:val="007733BC"/>
    <w:rsid w:val="00780579"/>
    <w:rsid w:val="007978F1"/>
    <w:rsid w:val="007A7A8C"/>
    <w:rsid w:val="007B3C89"/>
    <w:rsid w:val="007C3159"/>
    <w:rsid w:val="00810CF8"/>
    <w:rsid w:val="00826A32"/>
    <w:rsid w:val="008416CB"/>
    <w:rsid w:val="00874A1E"/>
    <w:rsid w:val="0087684E"/>
    <w:rsid w:val="00915C61"/>
    <w:rsid w:val="00932C5C"/>
    <w:rsid w:val="00950C63"/>
    <w:rsid w:val="009535CE"/>
    <w:rsid w:val="00982A9A"/>
    <w:rsid w:val="00982F2E"/>
    <w:rsid w:val="009904F8"/>
    <w:rsid w:val="00990F2C"/>
    <w:rsid w:val="009B01A1"/>
    <w:rsid w:val="009D03AC"/>
    <w:rsid w:val="009E7647"/>
    <w:rsid w:val="009F715D"/>
    <w:rsid w:val="00A00590"/>
    <w:rsid w:val="00A01F54"/>
    <w:rsid w:val="00A5190C"/>
    <w:rsid w:val="00A977B9"/>
    <w:rsid w:val="00AD6202"/>
    <w:rsid w:val="00B01684"/>
    <w:rsid w:val="00B041E1"/>
    <w:rsid w:val="00B15266"/>
    <w:rsid w:val="00B2318C"/>
    <w:rsid w:val="00B27B41"/>
    <w:rsid w:val="00B93C9E"/>
    <w:rsid w:val="00B974D4"/>
    <w:rsid w:val="00BA1212"/>
    <w:rsid w:val="00BF1DC8"/>
    <w:rsid w:val="00C04D1B"/>
    <w:rsid w:val="00C31F0F"/>
    <w:rsid w:val="00C4334F"/>
    <w:rsid w:val="00C4353E"/>
    <w:rsid w:val="00C5524F"/>
    <w:rsid w:val="00C612EB"/>
    <w:rsid w:val="00C623EA"/>
    <w:rsid w:val="00C6291E"/>
    <w:rsid w:val="00C70D10"/>
    <w:rsid w:val="00C95556"/>
    <w:rsid w:val="00CA0388"/>
    <w:rsid w:val="00CA1F14"/>
    <w:rsid w:val="00CD36CD"/>
    <w:rsid w:val="00CD79AB"/>
    <w:rsid w:val="00CF450B"/>
    <w:rsid w:val="00D13BB1"/>
    <w:rsid w:val="00D150B7"/>
    <w:rsid w:val="00DA206F"/>
    <w:rsid w:val="00DC3F65"/>
    <w:rsid w:val="00E05112"/>
    <w:rsid w:val="00E11EB3"/>
    <w:rsid w:val="00E44D59"/>
    <w:rsid w:val="00E85756"/>
    <w:rsid w:val="00EE2D18"/>
    <w:rsid w:val="00F07984"/>
    <w:rsid w:val="00F416E1"/>
    <w:rsid w:val="00F51842"/>
    <w:rsid w:val="00F56607"/>
    <w:rsid w:val="00F57787"/>
    <w:rsid w:val="00F653F1"/>
    <w:rsid w:val="00F6634A"/>
    <w:rsid w:val="00F806AE"/>
    <w:rsid w:val="00F9668D"/>
    <w:rsid w:val="00FA2D21"/>
    <w:rsid w:val="00FA34A2"/>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14</cp:revision>
  <cp:lastPrinted>2021-03-30T18:29:00Z</cp:lastPrinted>
  <dcterms:created xsi:type="dcterms:W3CDTF">2025-02-06T20:25:00Z</dcterms:created>
  <dcterms:modified xsi:type="dcterms:W3CDTF">2025-09-19T15:04:00Z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